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9366B0" w:rsidP="008F018A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8F018A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9366B0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014386">
              <w:rPr>
                <w:rFonts w:ascii="Arial" w:hAnsi="Arial" w:cs="Arial"/>
              </w:rPr>
              <w:t>6</w:t>
            </w:r>
            <w:r w:rsidR="009366B0">
              <w:rPr>
                <w:rFonts w:ascii="Arial" w:hAnsi="Arial" w:cs="Arial"/>
              </w:rPr>
              <w:t>3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9366B0" w:rsidRPr="00B5461D">
        <w:rPr>
          <w:rFonts w:ascii="Arial" w:hAnsi="Arial" w:cs="Arial"/>
          <w:b/>
        </w:rPr>
        <w:t xml:space="preserve">поставку </w:t>
      </w:r>
      <w:proofErr w:type="spellStart"/>
      <w:r w:rsidR="009366B0">
        <w:rPr>
          <w:rFonts w:ascii="Arial" w:hAnsi="Arial" w:cs="Arial"/>
          <w:b/>
        </w:rPr>
        <w:t>техпластины</w:t>
      </w:r>
      <w:proofErr w:type="spellEnd"/>
      <w:r w:rsidR="009366B0">
        <w:rPr>
          <w:rFonts w:ascii="Arial" w:hAnsi="Arial" w:cs="Arial"/>
          <w:b/>
        </w:rPr>
        <w:t xml:space="preserve"> и набивки </w:t>
      </w:r>
      <w:r w:rsidR="009366B0" w:rsidRPr="00B5461D">
        <w:rPr>
          <w:rFonts w:ascii="Arial" w:hAnsi="Arial" w:cs="Arial"/>
          <w:b/>
        </w:rPr>
        <w:t>2019 г.</w:t>
      </w:r>
      <w:r w:rsidR="009366B0">
        <w:rPr>
          <w:rFonts w:ascii="Arial" w:hAnsi="Arial" w:cs="Arial"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9366B0">
        <w:rPr>
          <w:rFonts w:ascii="Arial" w:hAnsi="Arial" w:cs="Arial"/>
          <w:b/>
          <w:u w:val="single"/>
        </w:rPr>
        <w:t>2</w:t>
      </w:r>
      <w:r w:rsidR="008F018A">
        <w:rPr>
          <w:rFonts w:ascii="Arial" w:hAnsi="Arial" w:cs="Arial"/>
          <w:b/>
          <w:u w:val="single"/>
        </w:rPr>
        <w:t>7</w:t>
      </w:r>
      <w:r w:rsidR="00A418DE" w:rsidRPr="00384C17">
        <w:rPr>
          <w:rFonts w:ascii="Arial" w:hAnsi="Arial" w:cs="Arial"/>
          <w:b/>
          <w:u w:val="single"/>
        </w:rPr>
        <w:t>.1</w:t>
      </w:r>
      <w:r w:rsidR="00DE3160" w:rsidRPr="00384C17">
        <w:rPr>
          <w:rFonts w:ascii="Arial" w:hAnsi="Arial" w:cs="Arial"/>
          <w:b/>
          <w:u w:val="single"/>
        </w:rPr>
        <w:t>2</w:t>
      </w:r>
      <w:r w:rsidR="00B6267E" w:rsidRPr="00384C17">
        <w:rPr>
          <w:rFonts w:ascii="Arial" w:hAnsi="Arial" w:cs="Arial"/>
          <w:b/>
          <w:bCs/>
          <w:u w:val="single"/>
        </w:rPr>
        <w:t>.</w:t>
      </w:r>
      <w:r w:rsidRPr="00384C17">
        <w:rPr>
          <w:rFonts w:ascii="Arial" w:hAnsi="Arial" w:cs="Arial"/>
          <w:b/>
          <w:u w:val="single"/>
        </w:rPr>
        <w:t>20</w:t>
      </w:r>
      <w:r w:rsidR="00B6267E" w:rsidRPr="00384C17">
        <w:rPr>
          <w:rFonts w:ascii="Arial" w:hAnsi="Arial" w:cs="Arial"/>
          <w:b/>
          <w:u w:val="single"/>
        </w:rPr>
        <w:t>18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9366B0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9366B0" w:rsidRPr="009366B0">
        <w:rPr>
          <w:rFonts w:ascii="Arial" w:hAnsi="Arial" w:cs="Arial"/>
          <w:b/>
        </w:rPr>
        <w:t xml:space="preserve">поставку </w:t>
      </w:r>
      <w:proofErr w:type="spellStart"/>
      <w:r w:rsidR="009366B0" w:rsidRPr="009366B0">
        <w:rPr>
          <w:rFonts w:ascii="Arial" w:hAnsi="Arial" w:cs="Arial"/>
          <w:b/>
        </w:rPr>
        <w:t>техпластины</w:t>
      </w:r>
      <w:proofErr w:type="spellEnd"/>
      <w:r w:rsidR="009366B0" w:rsidRPr="009366B0">
        <w:rPr>
          <w:rFonts w:ascii="Arial" w:hAnsi="Arial" w:cs="Arial"/>
          <w:b/>
        </w:rPr>
        <w:t xml:space="preserve"> и набивки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9366B0">
        <w:rPr>
          <w:rFonts w:ascii="Arial" w:hAnsi="Arial" w:cs="Arial"/>
          <w:b/>
        </w:rPr>
        <w:t>151 729,93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9366B0" w:rsidRDefault="009366B0" w:rsidP="009366B0">
      <w:pPr>
        <w:jc w:val="both"/>
        <w:rPr>
          <w:rFonts w:ascii="Arial" w:hAnsi="Arial" w:cs="Arial"/>
        </w:rPr>
      </w:pPr>
      <w:r w:rsidRPr="00907A9C">
        <w:rPr>
          <w:rFonts w:ascii="Arial" w:hAnsi="Arial" w:cs="Arial"/>
          <w:b/>
        </w:rPr>
        <w:t>Лот 1:</w:t>
      </w:r>
      <w:r w:rsidRPr="00907A9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Техпластина</w:t>
      </w:r>
      <w:proofErr w:type="spellEnd"/>
      <w:r>
        <w:rPr>
          <w:rFonts w:ascii="Arial" w:hAnsi="Arial" w:cs="Arial"/>
        </w:rPr>
        <w:t xml:space="preserve"> 70 503,88</w:t>
      </w:r>
      <w:r w:rsidRPr="00907A9C">
        <w:rPr>
          <w:rFonts w:ascii="Arial" w:hAnsi="Arial" w:cs="Arial"/>
        </w:rPr>
        <w:t xml:space="preserve"> рублей без НДС на условии франко-пункт назначения;</w:t>
      </w:r>
    </w:p>
    <w:p w:rsidR="009366B0" w:rsidRPr="00907A9C" w:rsidRDefault="009366B0" w:rsidP="009366B0">
      <w:pPr>
        <w:jc w:val="both"/>
        <w:rPr>
          <w:rFonts w:ascii="Arial" w:hAnsi="Arial" w:cs="Arial"/>
          <w:b/>
        </w:rPr>
      </w:pPr>
      <w:r w:rsidRPr="00907A9C">
        <w:rPr>
          <w:rFonts w:ascii="Arial" w:hAnsi="Arial" w:cs="Arial"/>
          <w:b/>
        </w:rPr>
        <w:t>Лот 2:</w:t>
      </w:r>
      <w:r>
        <w:rPr>
          <w:rFonts w:ascii="Arial" w:hAnsi="Arial" w:cs="Arial"/>
          <w:b/>
        </w:rPr>
        <w:t xml:space="preserve"> </w:t>
      </w:r>
      <w:r w:rsidRPr="00907A9C">
        <w:rPr>
          <w:rFonts w:ascii="Arial" w:hAnsi="Arial" w:cs="Arial"/>
        </w:rPr>
        <w:t>Набивка 81 226,05</w:t>
      </w:r>
      <w:r>
        <w:rPr>
          <w:rFonts w:ascii="Arial" w:hAnsi="Arial" w:cs="Arial"/>
        </w:rPr>
        <w:t xml:space="preserve"> </w:t>
      </w:r>
      <w:r w:rsidRPr="00907A9C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F865AA" w:rsidRPr="00384C17">
        <w:rPr>
          <w:rFonts w:ascii="Arial" w:hAnsi="Arial" w:cs="Arial"/>
          <w:b/>
          <w:u w:val="single"/>
        </w:rPr>
        <w:t>2</w:t>
      </w:r>
      <w:r w:rsidR="009366B0">
        <w:rPr>
          <w:rFonts w:ascii="Arial" w:hAnsi="Arial" w:cs="Arial"/>
          <w:b/>
          <w:u w:val="single"/>
        </w:rPr>
        <w:t>3</w:t>
      </w:r>
      <w:r w:rsidR="00A42ABA" w:rsidRPr="00384C17">
        <w:rPr>
          <w:rFonts w:ascii="Arial" w:hAnsi="Arial" w:cs="Arial"/>
          <w:b/>
          <w:u w:val="single"/>
        </w:rPr>
        <w:t>.</w:t>
      </w:r>
      <w:r w:rsidR="009366B0">
        <w:rPr>
          <w:rFonts w:ascii="Arial" w:hAnsi="Arial" w:cs="Arial"/>
          <w:b/>
          <w:u w:val="single"/>
        </w:rPr>
        <w:t>0</w:t>
      </w:r>
      <w:r w:rsidR="00A42ABA" w:rsidRPr="00384C17">
        <w:rPr>
          <w:rFonts w:ascii="Arial" w:hAnsi="Arial" w:cs="Arial"/>
          <w:b/>
          <w:u w:val="single"/>
        </w:rPr>
        <w:t>1</w:t>
      </w:r>
      <w:r w:rsidR="00C30996" w:rsidRPr="00384C17">
        <w:rPr>
          <w:rFonts w:ascii="Arial" w:hAnsi="Arial" w:cs="Arial"/>
          <w:b/>
          <w:u w:val="single"/>
        </w:rPr>
        <w:t>.201</w:t>
      </w:r>
      <w:r w:rsidR="009366B0">
        <w:rPr>
          <w:rFonts w:ascii="Arial" w:hAnsi="Arial" w:cs="Arial"/>
          <w:b/>
          <w:u w:val="single"/>
        </w:rPr>
        <w:t>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9366B0">
        <w:rPr>
          <w:rFonts w:ascii="Arial" w:hAnsi="Arial" w:cs="Arial"/>
          <w:b/>
          <w:u w:val="single"/>
        </w:rPr>
        <w:t>30</w:t>
      </w:r>
      <w:r w:rsidR="00A42ABA" w:rsidRPr="00384C17">
        <w:rPr>
          <w:rFonts w:ascii="Arial" w:hAnsi="Arial" w:cs="Arial"/>
          <w:b/>
          <w:u w:val="single"/>
        </w:rPr>
        <w:t>.</w:t>
      </w:r>
      <w:r w:rsidR="00DE3160" w:rsidRPr="00384C17">
        <w:rPr>
          <w:rFonts w:ascii="Arial" w:hAnsi="Arial" w:cs="Arial"/>
          <w:b/>
          <w:u w:val="single"/>
        </w:rPr>
        <w:t>0</w:t>
      </w:r>
      <w:r w:rsidR="00A42ABA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.</w:t>
      </w:r>
      <w:r w:rsidR="00B6267E" w:rsidRPr="00384C17">
        <w:rPr>
          <w:rFonts w:ascii="Arial" w:hAnsi="Arial" w:cs="Arial"/>
          <w:b/>
          <w:u w:val="single"/>
        </w:rPr>
        <w:t>201</w:t>
      </w:r>
      <w:r w:rsidR="00DE3160" w:rsidRPr="00384C17">
        <w:rPr>
          <w:rFonts w:ascii="Arial" w:hAnsi="Arial" w:cs="Arial"/>
          <w:b/>
          <w:u w:val="single"/>
        </w:rPr>
        <w:t>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proofErr w:type="spellStart"/>
      <w:r w:rsidR="009366B0" w:rsidRPr="009366B0">
        <w:t>Главый</w:t>
      </w:r>
      <w:proofErr w:type="spellEnd"/>
      <w:r w:rsidR="009366B0" w:rsidRPr="009366B0">
        <w:t xml:space="preserve"> специалист</w:t>
      </w:r>
      <w:r w:rsidR="009366B0">
        <w:t xml:space="preserve"> </w:t>
      </w:r>
      <w:r w:rsidR="009366B0" w:rsidRPr="009366B0">
        <w:t>Савушкин Владимир Юрьевич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9366B0">
        <w:t>602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9366B0" w:rsidRPr="00D6317D">
          <w:rPr>
            <w:rStyle w:val="a3"/>
          </w:rPr>
          <w:t>SavushkinVY@tamcomsys.ru</w:t>
        </w:r>
      </w:hyperlink>
      <w:r w:rsidR="009366B0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8F018A">
        <w:rPr>
          <w:rFonts w:ascii="Arial" w:hAnsi="Arial" w:cs="Arial"/>
          <w:b/>
          <w:sz w:val="20"/>
          <w:szCs w:val="20"/>
          <w:lang w:eastAsia="ru-RU"/>
        </w:rPr>
        <w:t>п</w:t>
      </w:r>
      <w:bookmarkStart w:id="7" w:name="_GoBack"/>
      <w:bookmarkEnd w:id="7"/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</w:t>
      </w:r>
      <w:r w:rsidRPr="00380C8F">
        <w:rPr>
          <w:rFonts w:ascii="Arial" w:hAnsi="Arial" w:cs="Arial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указанным в Приложении № 2 к Приглашению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.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 xml:space="preserve">Участник вправе предложить поставку как в отношении одного, так и в отношении нескольких или всех лотов,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lastRenderedPageBreak/>
        <w:t xml:space="preserve">предусмотренных в 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DE3160" w:rsidRDefault="00DE3160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6 «Опросный лист».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F018A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F018A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386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8A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6B0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avushkinVY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A89E7-88F6-42C1-83D7-7E391CEC4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12</Pages>
  <Words>4253</Words>
  <Characters>30444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95</cp:revision>
  <cp:lastPrinted>2016-04-01T07:05:00Z</cp:lastPrinted>
  <dcterms:created xsi:type="dcterms:W3CDTF">2016-04-06T06:42:00Z</dcterms:created>
  <dcterms:modified xsi:type="dcterms:W3CDTF">2018-12-05T06:01:00Z</dcterms:modified>
</cp:coreProperties>
</file>